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9072"/>
      </w:tblGrid>
      <w:tr w:rsidR="00C543A0" w:rsidRPr="00C543A0" w:rsidTr="00C543A0">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C543A0" w:rsidRPr="00C543A0">
              <w:trPr>
                <w:trHeight w:val="317"/>
                <w:jc w:val="center"/>
              </w:trPr>
              <w:tc>
                <w:tcPr>
                  <w:tcW w:w="2931" w:type="dxa"/>
                  <w:tcBorders>
                    <w:top w:val="nil"/>
                    <w:left w:val="nil"/>
                    <w:bottom w:val="single" w:sz="4" w:space="0" w:color="660066"/>
                    <w:right w:val="nil"/>
                  </w:tcBorders>
                  <w:vAlign w:val="center"/>
                  <w:hideMark/>
                </w:tcPr>
                <w:p w:rsidR="00C543A0" w:rsidRPr="00C543A0" w:rsidRDefault="00C543A0" w:rsidP="00C543A0">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C543A0">
                    <w:rPr>
                      <w:rFonts w:ascii="Arial" w:eastAsia="Times New Roman" w:hAnsi="Arial" w:cs="Arial"/>
                      <w:sz w:val="16"/>
                      <w:szCs w:val="16"/>
                      <w:lang w:eastAsia="tr-TR"/>
                    </w:rPr>
                    <w:t>31 Aralık 2019 SALI</w:t>
                  </w:r>
                </w:p>
              </w:tc>
              <w:tc>
                <w:tcPr>
                  <w:tcW w:w="2931" w:type="dxa"/>
                  <w:tcBorders>
                    <w:top w:val="nil"/>
                    <w:left w:val="nil"/>
                    <w:bottom w:val="single" w:sz="4" w:space="0" w:color="660066"/>
                    <w:right w:val="nil"/>
                  </w:tcBorders>
                  <w:vAlign w:val="center"/>
                  <w:hideMark/>
                </w:tcPr>
                <w:p w:rsidR="00C543A0" w:rsidRPr="00C543A0" w:rsidRDefault="00C543A0" w:rsidP="00C543A0">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C543A0">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C543A0" w:rsidRPr="00C543A0" w:rsidRDefault="00C543A0" w:rsidP="00C543A0">
                  <w:pPr>
                    <w:spacing w:before="100" w:beforeAutospacing="1" w:after="100" w:afterAutospacing="1" w:line="240" w:lineRule="auto"/>
                    <w:jc w:val="right"/>
                    <w:rPr>
                      <w:rFonts w:ascii="Arial" w:eastAsia="Times New Roman" w:hAnsi="Arial" w:cs="Arial"/>
                      <w:b/>
                      <w:bCs/>
                      <w:sz w:val="16"/>
                      <w:szCs w:val="16"/>
                      <w:lang w:eastAsia="tr-TR"/>
                    </w:rPr>
                  </w:pPr>
                  <w:proofErr w:type="gramStart"/>
                  <w:r w:rsidRPr="00C543A0">
                    <w:rPr>
                      <w:rFonts w:ascii="Arial" w:eastAsia="Times New Roman" w:hAnsi="Arial" w:cs="Arial"/>
                      <w:sz w:val="16"/>
                      <w:szCs w:val="16"/>
                      <w:lang w:eastAsia="tr-TR"/>
                    </w:rPr>
                    <w:t>Sayı :</w:t>
                  </w:r>
                  <w:proofErr w:type="gramEnd"/>
                  <w:r w:rsidRPr="00C543A0">
                    <w:rPr>
                      <w:rFonts w:ascii="Arial" w:eastAsia="Times New Roman" w:hAnsi="Arial" w:cs="Arial"/>
                      <w:sz w:val="16"/>
                      <w:szCs w:val="16"/>
                      <w:lang w:eastAsia="tr-TR"/>
                    </w:rPr>
                    <w:t xml:space="preserve"> 30995 </w:t>
                  </w:r>
                  <w:r w:rsidRPr="00C543A0">
                    <w:rPr>
                      <w:rFonts w:ascii="Arial" w:eastAsia="Times New Roman" w:hAnsi="Arial" w:cs="Arial"/>
                      <w:b/>
                      <w:bCs/>
                      <w:sz w:val="16"/>
                      <w:szCs w:val="16"/>
                      <w:lang w:eastAsia="tr-TR"/>
                    </w:rPr>
                    <w:t>(3. Mükerrer)</w:t>
                  </w:r>
                </w:p>
              </w:tc>
            </w:tr>
            <w:tr w:rsidR="00C543A0" w:rsidRPr="00C543A0">
              <w:trPr>
                <w:trHeight w:val="480"/>
                <w:jc w:val="center"/>
              </w:trPr>
              <w:tc>
                <w:tcPr>
                  <w:tcW w:w="8789" w:type="dxa"/>
                  <w:gridSpan w:val="3"/>
                  <w:vAlign w:val="center"/>
                  <w:hideMark/>
                </w:tcPr>
                <w:p w:rsidR="00C543A0" w:rsidRPr="00C543A0" w:rsidRDefault="00C543A0" w:rsidP="00C543A0">
                  <w:pPr>
                    <w:spacing w:before="100" w:beforeAutospacing="1" w:after="100" w:afterAutospacing="1" w:line="240" w:lineRule="auto"/>
                    <w:jc w:val="center"/>
                    <w:rPr>
                      <w:rFonts w:ascii="Arial" w:eastAsia="Times New Roman" w:hAnsi="Arial" w:cs="Arial"/>
                      <w:b/>
                      <w:color w:val="000080"/>
                      <w:sz w:val="18"/>
                      <w:szCs w:val="18"/>
                      <w:lang w:eastAsia="tr-TR"/>
                    </w:rPr>
                  </w:pPr>
                  <w:r w:rsidRPr="00C543A0">
                    <w:rPr>
                      <w:rFonts w:ascii="Arial" w:eastAsia="Times New Roman" w:hAnsi="Arial" w:cs="Arial"/>
                      <w:b/>
                      <w:color w:val="000080"/>
                      <w:sz w:val="18"/>
                      <w:szCs w:val="18"/>
                      <w:lang w:eastAsia="tr-TR"/>
                    </w:rPr>
                    <w:t>TEBLİĞ</w:t>
                  </w:r>
                </w:p>
              </w:tc>
            </w:tr>
            <w:tr w:rsidR="00C543A0" w:rsidRPr="00C543A0">
              <w:trPr>
                <w:trHeight w:val="480"/>
                <w:jc w:val="center"/>
              </w:trPr>
              <w:tc>
                <w:tcPr>
                  <w:tcW w:w="8789" w:type="dxa"/>
                  <w:gridSpan w:val="3"/>
                  <w:vAlign w:val="center"/>
                </w:tcPr>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C543A0">
                    <w:rPr>
                      <w:rFonts w:ascii="Times New Roman" w:eastAsia="Times New Roman" w:hAnsi="Times New Roman" w:cs="Times New Roman"/>
                      <w:sz w:val="18"/>
                      <w:szCs w:val="18"/>
                      <w:u w:val="single"/>
                      <w:lang w:eastAsia="tr-TR"/>
                    </w:rPr>
                    <w:t>Ticaret Bakanlığından:</w:t>
                  </w:r>
                </w:p>
                <w:p w:rsidR="00C543A0" w:rsidRPr="00C543A0" w:rsidRDefault="00C543A0" w:rsidP="00C543A0">
                  <w:pPr>
                    <w:tabs>
                      <w:tab w:val="left" w:pos="566"/>
                    </w:tabs>
                    <w:spacing w:after="0" w:line="240" w:lineRule="exact"/>
                    <w:jc w:val="center"/>
                    <w:rPr>
                      <w:rFonts w:ascii="Times New Roman" w:eastAsia="Times New Roman" w:hAnsi="Times New Roman" w:cs="Times New Roman"/>
                      <w:b/>
                      <w:bCs/>
                      <w:sz w:val="18"/>
                      <w:szCs w:val="18"/>
                      <w:lang w:eastAsia="tr-TR"/>
                    </w:rPr>
                  </w:pPr>
                  <w:r w:rsidRPr="00C543A0">
                    <w:rPr>
                      <w:rFonts w:ascii="Times New Roman" w:eastAsia="Times New Roman" w:hAnsi="Times New Roman" w:cs="Times New Roman"/>
                      <w:b/>
                      <w:bCs/>
                      <w:sz w:val="18"/>
                      <w:szCs w:val="18"/>
                      <w:lang w:eastAsia="tr-TR"/>
                    </w:rPr>
                    <w:t>GENELLEŞTİRİLMİŞ TERCİHLER SİSTEMİNE İLİŞKİN TEBLİĞ</w:t>
                  </w:r>
                </w:p>
                <w:p w:rsidR="00C543A0" w:rsidRPr="00C543A0" w:rsidRDefault="00C543A0" w:rsidP="00C543A0">
                  <w:pPr>
                    <w:tabs>
                      <w:tab w:val="left" w:pos="566"/>
                    </w:tabs>
                    <w:spacing w:after="0" w:line="240" w:lineRule="exact"/>
                    <w:jc w:val="center"/>
                    <w:rPr>
                      <w:rFonts w:ascii="Times New Roman" w:eastAsia="Times New Roman" w:hAnsi="Times New Roman" w:cs="Times New Roman"/>
                      <w:b/>
                      <w:bCs/>
                      <w:sz w:val="18"/>
                      <w:szCs w:val="18"/>
                      <w:lang w:eastAsia="tr-TR"/>
                    </w:rPr>
                  </w:pPr>
                  <w:r w:rsidRPr="00C543A0">
                    <w:rPr>
                      <w:rFonts w:ascii="Times New Roman" w:eastAsia="Times New Roman" w:hAnsi="Times New Roman" w:cs="Times New Roman"/>
                      <w:b/>
                      <w:bCs/>
                      <w:sz w:val="18"/>
                      <w:szCs w:val="18"/>
                      <w:lang w:eastAsia="tr-TR"/>
                    </w:rPr>
                    <w:t>(İTHALAT: 2020/6)</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543A0">
                    <w:rPr>
                      <w:rFonts w:ascii="Times New Roman" w:eastAsia="Times New Roman" w:hAnsi="Times New Roman" w:cs="Times New Roman"/>
                      <w:b/>
                      <w:sz w:val="18"/>
                      <w:szCs w:val="18"/>
                      <w:lang w:eastAsia="tr-TR"/>
                    </w:rPr>
                    <w:t>Amaç</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b/>
                      <w:sz w:val="18"/>
                      <w:szCs w:val="18"/>
                      <w:lang w:eastAsia="tr-TR"/>
                    </w:rPr>
                    <w:t xml:space="preserve">MADDE 1 – </w:t>
                  </w:r>
                  <w:r w:rsidRPr="00C543A0">
                    <w:rPr>
                      <w:rFonts w:ascii="Times New Roman" w:eastAsia="Times New Roman" w:hAnsi="Times New Roman" w:cs="Times New Roman"/>
                      <w:sz w:val="18"/>
                      <w:szCs w:val="18"/>
                      <w:lang w:eastAsia="tr-TR"/>
                    </w:rPr>
                    <w:t>(1) Bu Tebliğ, 20/12/1995 tarihli ve 95/7606 sayılı Bakanlar Kurulu Kararı ile yürürlüğe konulan İthalat Rejimi Kararında, Genelleştirilmiş Tercihler Sistemine (GTS) ilişkin tarife tavizlerinden yararlanan eşya ile ülkelerin belirlenmesine esas teşkil eden hususları düzenler.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543A0">
                    <w:rPr>
                      <w:rFonts w:ascii="Times New Roman" w:eastAsia="Times New Roman" w:hAnsi="Times New Roman" w:cs="Times New Roman"/>
                      <w:b/>
                      <w:sz w:val="18"/>
                      <w:szCs w:val="18"/>
                      <w:lang w:eastAsia="tr-TR"/>
                    </w:rPr>
                    <w:t>Dayanak</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b/>
                      <w:sz w:val="18"/>
                      <w:szCs w:val="18"/>
                      <w:lang w:eastAsia="tr-TR"/>
                    </w:rPr>
                    <w:t xml:space="preserve">MADDE 2 – </w:t>
                  </w:r>
                  <w:r w:rsidRPr="00C543A0">
                    <w:rPr>
                      <w:rFonts w:ascii="Times New Roman" w:eastAsia="Times New Roman" w:hAnsi="Times New Roman" w:cs="Times New Roman"/>
                      <w:sz w:val="18"/>
                      <w:szCs w:val="18"/>
                      <w:lang w:eastAsia="tr-TR"/>
                    </w:rPr>
                    <w:t xml:space="preserve">(1) Bu Tebliğ; 1 sayılı Cumhurbaşkanlığı Teşkilatı Hakkında Cumhurbaşkanlığı Kararnamesinin 445 inci maddesinin birinci fıkrasının (c) bendine ve 20/12/1995 tarihli ve 95/7606 sayılı Bakanlar Kurulu Kararı ile yürürlüğe konulan İthalat Rejimi Kararının </w:t>
                  </w:r>
                  <w:proofErr w:type="gramStart"/>
                  <w:r w:rsidRPr="00C543A0">
                    <w:rPr>
                      <w:rFonts w:ascii="Times New Roman" w:eastAsia="Times New Roman" w:hAnsi="Times New Roman" w:cs="Times New Roman"/>
                      <w:sz w:val="18"/>
                      <w:szCs w:val="18"/>
                      <w:lang w:eastAsia="tr-TR"/>
                    </w:rPr>
                    <w:t xml:space="preserve">2 </w:t>
                  </w:r>
                  <w:proofErr w:type="spellStart"/>
                  <w:r w:rsidRPr="00C543A0">
                    <w:rPr>
                      <w:rFonts w:ascii="Times New Roman" w:eastAsia="Times New Roman" w:hAnsi="Times New Roman" w:cs="Times New Roman"/>
                      <w:sz w:val="18"/>
                      <w:szCs w:val="18"/>
                      <w:lang w:eastAsia="tr-TR"/>
                    </w:rPr>
                    <w:t>nci</w:t>
                  </w:r>
                  <w:proofErr w:type="spellEnd"/>
                  <w:proofErr w:type="gramEnd"/>
                  <w:r w:rsidRPr="00C543A0">
                    <w:rPr>
                      <w:rFonts w:ascii="Times New Roman" w:eastAsia="Times New Roman" w:hAnsi="Times New Roman" w:cs="Times New Roman"/>
                      <w:sz w:val="18"/>
                      <w:szCs w:val="18"/>
                      <w:lang w:eastAsia="tr-TR"/>
                    </w:rPr>
                    <w:t xml:space="preserve"> maddesine dayanılarak hazırlanmıştır.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543A0">
                    <w:rPr>
                      <w:rFonts w:ascii="Times New Roman" w:eastAsia="Times New Roman" w:hAnsi="Times New Roman" w:cs="Times New Roman"/>
                      <w:b/>
                      <w:sz w:val="18"/>
                      <w:szCs w:val="18"/>
                      <w:lang w:eastAsia="tr-TR"/>
                    </w:rPr>
                    <w:t>Temel ilkeler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b/>
                      <w:sz w:val="18"/>
                      <w:szCs w:val="18"/>
                      <w:lang w:eastAsia="tr-TR"/>
                    </w:rPr>
                    <w:t>MADDE 3 –</w:t>
                  </w:r>
                  <w:r w:rsidRPr="00C543A0">
                    <w:rPr>
                      <w:rFonts w:ascii="Times New Roman" w:eastAsia="Times New Roman" w:hAnsi="Times New Roman" w:cs="Times New Roman"/>
                      <w:sz w:val="18"/>
                      <w:szCs w:val="18"/>
                      <w:lang w:eastAsia="tr-TR"/>
                    </w:rPr>
                    <w:t xml:space="preserve"> (1) GTS, ülkemizin başta Dünya Ticaret Örgütü (DTÖ) olmak üzere uluslararası yükümlülüklerine uygun olarak, İthalat Rejimi Kararı eki II sayılı [</w:t>
                  </w:r>
                  <w:proofErr w:type="gramStart"/>
                  <w:r w:rsidRPr="00C543A0">
                    <w:rPr>
                      <w:rFonts w:ascii="Times New Roman" w:eastAsia="Times New Roman" w:hAnsi="Times New Roman" w:cs="Times New Roman"/>
                      <w:sz w:val="18"/>
                      <w:szCs w:val="18"/>
                      <w:lang w:eastAsia="tr-TR"/>
                    </w:rPr>
                    <w:t>93 üncü</w:t>
                  </w:r>
                  <w:proofErr w:type="gramEnd"/>
                  <w:r w:rsidRPr="00C543A0">
                    <w:rPr>
                      <w:rFonts w:ascii="Times New Roman" w:eastAsia="Times New Roman" w:hAnsi="Times New Roman" w:cs="Times New Roman"/>
                      <w:sz w:val="18"/>
                      <w:szCs w:val="18"/>
                      <w:lang w:eastAsia="tr-TR"/>
                    </w:rPr>
                    <w:t xml:space="preserve"> fasıl ve Avrupa Kömür ve Çelik Topluluğu (AKÇT) ürünleri hariç] ve III sayılı listelerde yer alan eşya için tatbik edilmekte olup;</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a) Gümrük vergisi tavizlerinin tek taraflı olması,</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b) Tavizlerin verilişlerinin bağlayıcı olmaması,</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c) Tercihlerin kısmen veya tümüyle kaldırılabilmesi,</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543A0">
                    <w:rPr>
                      <w:rFonts w:ascii="Times New Roman" w:eastAsia="Times New Roman" w:hAnsi="Times New Roman" w:cs="Times New Roman"/>
                      <w:sz w:val="18"/>
                      <w:szCs w:val="18"/>
                      <w:lang w:eastAsia="tr-TR"/>
                    </w:rPr>
                    <w:t>ç</w:t>
                  </w:r>
                  <w:proofErr w:type="gramEnd"/>
                  <w:r w:rsidRPr="00C543A0">
                    <w:rPr>
                      <w:rFonts w:ascii="Times New Roman" w:eastAsia="Times New Roman" w:hAnsi="Times New Roman" w:cs="Times New Roman"/>
                      <w:sz w:val="18"/>
                      <w:szCs w:val="18"/>
                      <w:lang w:eastAsia="tr-TR"/>
                    </w:rPr>
                    <w:t>) Tek taraflı veya uluslararası müzakereler sonucunda yapılacak en çok kayrılan ülke esasına dayalı tarife indirimlerini engelleyici olmaması,</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543A0">
                    <w:rPr>
                      <w:rFonts w:ascii="Times New Roman" w:eastAsia="Times New Roman" w:hAnsi="Times New Roman" w:cs="Times New Roman"/>
                      <w:sz w:val="18"/>
                      <w:szCs w:val="18"/>
                      <w:lang w:eastAsia="tr-TR"/>
                    </w:rPr>
                    <w:t>temel</w:t>
                  </w:r>
                  <w:proofErr w:type="gramEnd"/>
                  <w:r w:rsidRPr="00C543A0">
                    <w:rPr>
                      <w:rFonts w:ascii="Times New Roman" w:eastAsia="Times New Roman" w:hAnsi="Times New Roman" w:cs="Times New Roman"/>
                      <w:sz w:val="18"/>
                      <w:szCs w:val="18"/>
                      <w:lang w:eastAsia="tr-TR"/>
                    </w:rPr>
                    <w:t xml:space="preserve"> ilkelerine dayanmaktadır.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 xml:space="preserve">(2) GTS kapsamında tanınan tavizli tarifeler, İthalat Rejimi Kararı ekinde yer alan II ve III sayılı listelerde GTS Ülkeleri sütununa derç edilerek yürürlüğe konulmuştur. </w:t>
                  </w:r>
                  <w:proofErr w:type="spellStart"/>
                  <w:r w:rsidRPr="00C543A0">
                    <w:rPr>
                      <w:rFonts w:ascii="Times New Roman" w:eastAsia="Times New Roman" w:hAnsi="Times New Roman" w:cs="Times New Roman"/>
                      <w:sz w:val="18"/>
                      <w:szCs w:val="18"/>
                      <w:lang w:eastAsia="tr-TR"/>
                    </w:rPr>
                    <w:t>GTS’den</w:t>
                  </w:r>
                  <w:proofErr w:type="spellEnd"/>
                  <w:r w:rsidRPr="00C543A0">
                    <w:rPr>
                      <w:rFonts w:ascii="Times New Roman" w:eastAsia="Times New Roman" w:hAnsi="Times New Roman" w:cs="Times New Roman"/>
                      <w:sz w:val="18"/>
                      <w:szCs w:val="18"/>
                      <w:lang w:eastAsia="tr-TR"/>
                    </w:rPr>
                    <w:t xml:space="preserve"> yararlanacak G.Y.Ü., Ö.T.D.Ü. ve E.A.G.Ü.’</w:t>
                  </w:r>
                  <w:proofErr w:type="spellStart"/>
                  <w:r w:rsidRPr="00C543A0">
                    <w:rPr>
                      <w:rFonts w:ascii="Times New Roman" w:eastAsia="Times New Roman" w:hAnsi="Times New Roman" w:cs="Times New Roman"/>
                      <w:sz w:val="18"/>
                      <w:szCs w:val="18"/>
                      <w:lang w:eastAsia="tr-TR"/>
                    </w:rPr>
                    <w:t>ler</w:t>
                  </w:r>
                  <w:proofErr w:type="spellEnd"/>
                  <w:r w:rsidRPr="00C543A0">
                    <w:rPr>
                      <w:rFonts w:ascii="Times New Roman" w:eastAsia="Times New Roman" w:hAnsi="Times New Roman" w:cs="Times New Roman"/>
                      <w:sz w:val="18"/>
                      <w:szCs w:val="18"/>
                      <w:lang w:eastAsia="tr-TR"/>
                    </w:rPr>
                    <w:t xml:space="preserve"> sırasıyla İthalat Rejimi Kararı EK:4A, EK:4B ve EK:4C’deki listelerde yer almaktadır. GTS kapsamında tercihli tarifeler, bu listelerde belirtilen ülkeler menşeli eşyanın ithalatında uygulanır.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(3) GTS kapsamındaki ürün grubu listeleri G.Y.Ü. için İthalat Rejimi Kararı Ek:5’te, Ö.T.D.Ü. için Ek:6’da ve E.A.G.Ü. için ise Ek:7’de yer almaktadır.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543A0">
                    <w:rPr>
                      <w:rFonts w:ascii="Times New Roman" w:eastAsia="Times New Roman" w:hAnsi="Times New Roman" w:cs="Times New Roman"/>
                      <w:b/>
                      <w:sz w:val="18"/>
                      <w:szCs w:val="18"/>
                      <w:lang w:eastAsia="tr-TR"/>
                    </w:rPr>
                    <w:t>Tercihli tarife kapsamı eşya ve indirim oranları</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b/>
                      <w:sz w:val="18"/>
                      <w:szCs w:val="18"/>
                      <w:lang w:eastAsia="tr-TR"/>
                    </w:rPr>
                    <w:t xml:space="preserve">MADDE 4 – </w:t>
                  </w:r>
                  <w:r w:rsidRPr="00C543A0">
                    <w:rPr>
                      <w:rFonts w:ascii="Times New Roman" w:eastAsia="Times New Roman" w:hAnsi="Times New Roman" w:cs="Times New Roman"/>
                      <w:sz w:val="18"/>
                      <w:szCs w:val="18"/>
                      <w:lang w:eastAsia="tr-TR"/>
                    </w:rPr>
                    <w:t>(1) Taviz tanınan eşyalar hassaslık derecesine göre, İthalat Rejimi Kararı Ek: 5’te yer alan listede hassas ve hassas olmayan olarak iki gruba ayrılır. Eşyanın ait olduğu hassaslık grubu değiştirilebilir.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 xml:space="preserve">(2) Hassas ürünlerde, maktu gümrük vergileri </w:t>
                  </w:r>
                  <w:proofErr w:type="gramStart"/>
                  <w:r w:rsidRPr="00C543A0">
                    <w:rPr>
                      <w:rFonts w:ascii="Times New Roman" w:eastAsia="Times New Roman" w:hAnsi="Times New Roman" w:cs="Times New Roman"/>
                      <w:sz w:val="18"/>
                      <w:szCs w:val="18"/>
                      <w:lang w:eastAsia="tr-TR"/>
                    </w:rPr>
                    <w:t>% 30</w:t>
                  </w:r>
                  <w:proofErr w:type="gramEnd"/>
                  <w:r w:rsidRPr="00C543A0">
                    <w:rPr>
                      <w:rFonts w:ascii="Times New Roman" w:eastAsia="Times New Roman" w:hAnsi="Times New Roman" w:cs="Times New Roman"/>
                      <w:sz w:val="18"/>
                      <w:szCs w:val="18"/>
                      <w:lang w:eastAsia="tr-TR"/>
                    </w:rPr>
                    <w:t xml:space="preserve"> oranında azaltılmış, nispi gümrük vergileri ise İthalat Rejimi Kararı eki II ve III sayılı listelerde Diğer Ülkeler (D.Ü.) sütununda belirtilen gümrük vergisi hadleri üzerinden 3,5 puan indirilmiştir. Ancak 50 ila </w:t>
                  </w:r>
                  <w:proofErr w:type="gramStart"/>
                  <w:r w:rsidRPr="00C543A0">
                    <w:rPr>
                      <w:rFonts w:ascii="Times New Roman" w:eastAsia="Times New Roman" w:hAnsi="Times New Roman" w:cs="Times New Roman"/>
                      <w:sz w:val="18"/>
                      <w:szCs w:val="18"/>
                      <w:lang w:eastAsia="tr-TR"/>
                    </w:rPr>
                    <w:t>63 üncü</w:t>
                  </w:r>
                  <w:proofErr w:type="gramEnd"/>
                  <w:r w:rsidRPr="00C543A0">
                    <w:rPr>
                      <w:rFonts w:ascii="Times New Roman" w:eastAsia="Times New Roman" w:hAnsi="Times New Roman" w:cs="Times New Roman"/>
                      <w:sz w:val="18"/>
                      <w:szCs w:val="18"/>
                      <w:lang w:eastAsia="tr-TR"/>
                    </w:rPr>
                    <w:t xml:space="preserve"> fasıllar (bu fasıllar dahil) arasında yer alan hassas ürünlerde, İthalat Rejimi Kararı eki II sayılı listede D.Ü. sütununda belirtilen gümrük vergisi hadleri üzerinden % 20 oranında indirim yapılmıştır. GTS kapsamında tanınan tercihli tarifenin nihai oranı 1 inci ondalık sayıya yuvarlanmıştır.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(3) Avrupa Birliği (AB)’</w:t>
                  </w:r>
                  <w:proofErr w:type="spellStart"/>
                  <w:r w:rsidRPr="00C543A0">
                    <w:rPr>
                      <w:rFonts w:ascii="Times New Roman" w:eastAsia="Times New Roman" w:hAnsi="Times New Roman" w:cs="Times New Roman"/>
                      <w:sz w:val="18"/>
                      <w:szCs w:val="18"/>
                      <w:lang w:eastAsia="tr-TR"/>
                    </w:rPr>
                    <w:t>nin</w:t>
                  </w:r>
                  <w:proofErr w:type="spellEnd"/>
                  <w:r w:rsidRPr="00C543A0">
                    <w:rPr>
                      <w:rFonts w:ascii="Times New Roman" w:eastAsia="Times New Roman" w:hAnsi="Times New Roman" w:cs="Times New Roman"/>
                      <w:sz w:val="18"/>
                      <w:szCs w:val="18"/>
                      <w:lang w:eastAsia="tr-TR"/>
                    </w:rPr>
                    <w:t xml:space="preserve"> yürürlükteki mevzuat hükümleri dikkate alınarak, bazı eşya için ikinci fıkrada belirtilen tavizlerden daha düşük olan gümrük tarifeleri uygulanmıştır.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 xml:space="preserve">(4) Tercihli tarife uygulaması sonucunda nispi vergi oranlarının </w:t>
                  </w:r>
                  <w:proofErr w:type="gramStart"/>
                  <w:r w:rsidRPr="00C543A0">
                    <w:rPr>
                      <w:rFonts w:ascii="Times New Roman" w:eastAsia="Times New Roman" w:hAnsi="Times New Roman" w:cs="Times New Roman"/>
                      <w:sz w:val="18"/>
                      <w:szCs w:val="18"/>
                      <w:lang w:eastAsia="tr-TR"/>
                    </w:rPr>
                    <w:t>% 1</w:t>
                  </w:r>
                  <w:proofErr w:type="gramEnd"/>
                  <w:r w:rsidRPr="00C543A0">
                    <w:rPr>
                      <w:rFonts w:ascii="Times New Roman" w:eastAsia="Times New Roman" w:hAnsi="Times New Roman" w:cs="Times New Roman"/>
                      <w:sz w:val="18"/>
                      <w:szCs w:val="18"/>
                      <w:lang w:eastAsia="tr-TR"/>
                    </w:rPr>
                    <w:t xml:space="preserve"> veya daha az olması, maktu vergilerin 2 Avro veya daha az olması durumunda, G.Y.Ü. için gümrük vergileri askıya alınmıştır.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543A0">
                    <w:rPr>
                      <w:rFonts w:ascii="Times New Roman" w:eastAsia="Times New Roman" w:hAnsi="Times New Roman" w:cs="Times New Roman"/>
                      <w:b/>
                      <w:sz w:val="18"/>
                      <w:szCs w:val="18"/>
                      <w:lang w:eastAsia="tr-TR"/>
                    </w:rPr>
                    <w:t>Hariç sektörler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b/>
                      <w:sz w:val="18"/>
                      <w:szCs w:val="18"/>
                      <w:lang w:eastAsia="tr-TR"/>
                    </w:rPr>
                    <w:t xml:space="preserve">MADDE 5 – </w:t>
                  </w:r>
                  <w:r w:rsidRPr="00C543A0">
                    <w:rPr>
                      <w:rFonts w:ascii="Times New Roman" w:eastAsia="Times New Roman" w:hAnsi="Times New Roman" w:cs="Times New Roman"/>
                      <w:sz w:val="18"/>
                      <w:szCs w:val="18"/>
                      <w:lang w:eastAsia="tr-TR"/>
                    </w:rPr>
                    <w:t xml:space="preserve">(1) GTS kapsamı sektörler İthalat Rejimi Kararının Ek:5, Ek:6 ve Ek:7’sinde yer almaktadır. </w:t>
                  </w:r>
                  <w:proofErr w:type="spellStart"/>
                  <w:r w:rsidRPr="00C543A0">
                    <w:rPr>
                      <w:rFonts w:ascii="Times New Roman" w:eastAsia="Times New Roman" w:hAnsi="Times New Roman" w:cs="Times New Roman"/>
                      <w:sz w:val="18"/>
                      <w:szCs w:val="18"/>
                      <w:lang w:eastAsia="tr-TR"/>
                    </w:rPr>
                    <w:t>GTS’den</w:t>
                  </w:r>
                  <w:proofErr w:type="spellEnd"/>
                  <w:r w:rsidRPr="00C543A0">
                    <w:rPr>
                      <w:rFonts w:ascii="Times New Roman" w:eastAsia="Times New Roman" w:hAnsi="Times New Roman" w:cs="Times New Roman"/>
                      <w:sz w:val="18"/>
                      <w:szCs w:val="18"/>
                      <w:lang w:eastAsia="tr-TR"/>
                    </w:rPr>
                    <w:t xml:space="preserve"> sağlanan tercihli tarifeler, İthalat Rejimi Kararı EK: 4A, EK:4B ve EK:4C’de belirtilen ilgili ülkeler itibarıyla hariç tutulan sektörler için uygulanmaz.</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543A0">
                    <w:rPr>
                      <w:rFonts w:ascii="Times New Roman" w:eastAsia="Times New Roman" w:hAnsi="Times New Roman" w:cs="Times New Roman"/>
                      <w:b/>
                      <w:sz w:val="18"/>
                      <w:szCs w:val="18"/>
                      <w:lang w:eastAsia="tr-TR"/>
                    </w:rPr>
                    <w:t>Tavizlerin askıya alınması</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b/>
                      <w:sz w:val="18"/>
                      <w:szCs w:val="18"/>
                      <w:lang w:eastAsia="tr-TR"/>
                    </w:rPr>
                    <w:t xml:space="preserve">MADDE 6 – </w:t>
                  </w:r>
                  <w:r w:rsidRPr="00C543A0">
                    <w:rPr>
                      <w:rFonts w:ascii="Times New Roman" w:eastAsia="Times New Roman" w:hAnsi="Times New Roman" w:cs="Times New Roman"/>
                      <w:sz w:val="18"/>
                      <w:szCs w:val="18"/>
                      <w:lang w:eastAsia="tr-TR"/>
                    </w:rPr>
                    <w:t>(1) GTS kapsamında sağlanan tavizler;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a) Temel insan ve işçi hakları ile çevreye ilişkin uluslararası sözleşmelerde belirlenen prensiplerin ciddi ve sistematik bir şekilde ihlal edilmesi,</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b) Türkiye sanayisi üzerinde olumsuz etki yapan haksız ticari uygulamalar,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c) Menşe kurallarının sistematik bir biçimde ihlal edilmesi,</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543A0">
                    <w:rPr>
                      <w:rFonts w:ascii="Times New Roman" w:eastAsia="Times New Roman" w:hAnsi="Times New Roman" w:cs="Times New Roman"/>
                      <w:sz w:val="18"/>
                      <w:szCs w:val="18"/>
                      <w:lang w:eastAsia="tr-TR"/>
                    </w:rPr>
                    <w:t>ç</w:t>
                  </w:r>
                  <w:proofErr w:type="gramEnd"/>
                  <w:r w:rsidRPr="00C543A0">
                    <w:rPr>
                      <w:rFonts w:ascii="Times New Roman" w:eastAsia="Times New Roman" w:hAnsi="Times New Roman" w:cs="Times New Roman"/>
                      <w:sz w:val="18"/>
                      <w:szCs w:val="18"/>
                      <w:lang w:eastAsia="tr-TR"/>
                    </w:rPr>
                    <w:t>) DTÖ tarafından haksız ticari uygulamaların tespit edilmesi,</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d) GB’nin etkin işleyişine zarar verecek şekilde trafik sapmasına neden olması,</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e) Uluslararası Çalışma Örgütü Konvansiyonlarında belirtilen kölelik ya da angaryanın herhangi bir türünün uygulanması,</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f) Uyuşturucu ticaretine ilişkin gümrük kontrollerinin yetersiz olması,</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lastRenderedPageBreak/>
                    <w:t>g) Mahkumlara yaptırılan ürünlerin ihraç edilmesi,</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543A0">
                    <w:rPr>
                      <w:rFonts w:ascii="Times New Roman" w:eastAsia="Times New Roman" w:hAnsi="Times New Roman" w:cs="Times New Roman"/>
                      <w:sz w:val="18"/>
                      <w:szCs w:val="18"/>
                      <w:lang w:eastAsia="tr-TR"/>
                    </w:rPr>
                    <w:t>ğ</w:t>
                  </w:r>
                  <w:proofErr w:type="gramEnd"/>
                  <w:r w:rsidRPr="00C543A0">
                    <w:rPr>
                      <w:rFonts w:ascii="Times New Roman" w:eastAsia="Times New Roman" w:hAnsi="Times New Roman" w:cs="Times New Roman"/>
                      <w:sz w:val="18"/>
                      <w:szCs w:val="18"/>
                      <w:lang w:eastAsia="tr-TR"/>
                    </w:rPr>
                    <w:t>) Dünya Bankası tarafından bir ülkenin yüksek gelir grubunda sınıflandırılması,</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543A0">
                    <w:rPr>
                      <w:rFonts w:ascii="Times New Roman" w:eastAsia="Times New Roman" w:hAnsi="Times New Roman" w:cs="Times New Roman"/>
                      <w:sz w:val="18"/>
                      <w:szCs w:val="18"/>
                      <w:lang w:eastAsia="tr-TR"/>
                    </w:rPr>
                    <w:t>halinde</w:t>
                  </w:r>
                  <w:proofErr w:type="gramEnd"/>
                  <w:r w:rsidRPr="00C543A0">
                    <w:rPr>
                      <w:rFonts w:ascii="Times New Roman" w:eastAsia="Times New Roman" w:hAnsi="Times New Roman" w:cs="Times New Roman"/>
                      <w:sz w:val="18"/>
                      <w:szCs w:val="18"/>
                      <w:lang w:eastAsia="tr-TR"/>
                    </w:rPr>
                    <w:t xml:space="preserve"> ilgili ülkeler menşeli eşya için belirli veya belirsiz süreyle geçici veya daimi olarak askıya alınabilir.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543A0">
                    <w:rPr>
                      <w:rFonts w:ascii="Times New Roman" w:eastAsia="Times New Roman" w:hAnsi="Times New Roman" w:cs="Times New Roman"/>
                      <w:b/>
                      <w:sz w:val="18"/>
                      <w:szCs w:val="18"/>
                      <w:lang w:eastAsia="tr-TR"/>
                    </w:rPr>
                    <w:t>Tavizlerin kaldırılması ve yeniden düzenlenmesi</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b/>
                      <w:sz w:val="18"/>
                      <w:szCs w:val="18"/>
                      <w:lang w:eastAsia="tr-TR"/>
                    </w:rPr>
                    <w:t xml:space="preserve">MADDE 7 – </w:t>
                  </w:r>
                  <w:r w:rsidRPr="00C543A0">
                    <w:rPr>
                      <w:rFonts w:ascii="Times New Roman" w:eastAsia="Times New Roman" w:hAnsi="Times New Roman" w:cs="Times New Roman"/>
                      <w:sz w:val="18"/>
                      <w:szCs w:val="18"/>
                      <w:lang w:eastAsia="tr-TR"/>
                    </w:rPr>
                    <w:t>(1) GTS kapsamında tavizden faydalanan ülke menşeli bir eşyanın ithali benzer ya da doğrudan rakip bir eşyanın yerli üreticisi için ciddi zorluk ya da ciddi zorluk tehdidi yaratır ise ilgili ülke menşeli bu eşya için İthalat Rejimi Kararının eki II ve III sayılı listelerde D.Ü. sütununda belirtilen gümrük vergisi oranı yeniden yürürlüğe konulabilir.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(2) GTS kapsamında bir eşyanın ithali ülke pazarında ciddi bir bozulma ya da ciddi bozulma tehdidi yaratır ise bu eşya için ülke ayrımı gözetmeksizin İthalat Rejimi Kararı eki II ve III sayılı listelerde D.Ü. sütununda belirtilen gümrük vergisi oranı yeniden yürürlüğe konulabilir.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(3) Ticaret Bakanlığı İthalat Genel Müdürlüğü, ciddi zorluk veya zorluk tehdidine ilişkin başvuru üzerine ya da resen inceleme kararı alabilir.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(4) Ciddi zorluk ya da zorluk tehdidine ilişkin inceleme sırasında yerli üretimin; pazar payı, üretim, üretim kapasitesi, stok, iflas, kârlılık, kapasite kullanımı, istihdam, ithalat ve fiyat faktörlerinden biri veya birkaçı göz önünde bulundurulur.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(5) İnceleme altı ay içinde tamamlanır. Gerek görülen hallerde bu süre uzatılabilir.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(6) İncelemenin tamamlanmasının ardından ilgili ülke menşeli eşya için bir ay içinde karar alınır.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(7) Sektörlerde belirtilen ürünlere GTS kapsamında sağlanan tavizler;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a) GTS kapsamında tavizden faydalanan bir ülkeden, bir sektör kapsamında gerçekleştirilen ithalatın, aynı sektörde bir önceki yıl gerçekleştirilen ithalata oranla miktar bazında %13,5 ve daha fazla oranda artması veya,</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 xml:space="preserve">b) Sektörde belirtilen ürünlerin GTS kapsamında tavizden yararlanan herhangi bir ülkeden ithalatının, GTS kapsamında yer alan ülkelerin tamamından herhangi bir on iki aylık dönem süresince gerçekleştirilen ithalatın değer bazında </w:t>
                  </w:r>
                  <w:proofErr w:type="gramStart"/>
                  <w:r w:rsidRPr="00C543A0">
                    <w:rPr>
                      <w:rFonts w:ascii="Times New Roman" w:eastAsia="Times New Roman" w:hAnsi="Times New Roman" w:cs="Times New Roman"/>
                      <w:sz w:val="18"/>
                      <w:szCs w:val="18"/>
                      <w:lang w:eastAsia="tr-TR"/>
                    </w:rPr>
                    <w:t>% 14,5</w:t>
                  </w:r>
                  <w:proofErr w:type="gramEnd"/>
                  <w:r w:rsidRPr="00C543A0">
                    <w:rPr>
                      <w:rFonts w:ascii="Times New Roman" w:eastAsia="Times New Roman" w:hAnsi="Times New Roman" w:cs="Times New Roman"/>
                      <w:sz w:val="18"/>
                      <w:szCs w:val="18"/>
                      <w:lang w:eastAsia="tr-TR"/>
                    </w:rPr>
                    <w:t>’ini aşması halinde,</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543A0">
                    <w:rPr>
                      <w:rFonts w:ascii="Times New Roman" w:eastAsia="Times New Roman" w:hAnsi="Times New Roman" w:cs="Times New Roman"/>
                      <w:sz w:val="18"/>
                      <w:szCs w:val="18"/>
                      <w:lang w:eastAsia="tr-TR"/>
                    </w:rPr>
                    <w:t>kaldırılabilir</w:t>
                  </w:r>
                  <w:proofErr w:type="gramEnd"/>
                  <w:r w:rsidRPr="00C543A0">
                    <w:rPr>
                      <w:rFonts w:ascii="Times New Roman" w:eastAsia="Times New Roman" w:hAnsi="Times New Roman" w:cs="Times New Roman"/>
                      <w:sz w:val="18"/>
                      <w:szCs w:val="18"/>
                      <w:lang w:eastAsia="tr-TR"/>
                    </w:rPr>
                    <w:t>.</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sz w:val="18"/>
                      <w:szCs w:val="18"/>
                      <w:lang w:eastAsia="tr-TR"/>
                    </w:rPr>
                    <w:t>(8) Ticaret Bakanlığınca dış ticaretimizdeki gelişmeler göz önüne alınarak ülke/ürün bazında tavizler kaldırılabilir.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543A0">
                    <w:rPr>
                      <w:rFonts w:ascii="Times New Roman" w:eastAsia="Times New Roman" w:hAnsi="Times New Roman" w:cs="Times New Roman"/>
                      <w:b/>
                      <w:sz w:val="18"/>
                      <w:szCs w:val="18"/>
                      <w:lang w:eastAsia="tr-TR"/>
                    </w:rPr>
                    <w:t>Uyumlaştırma</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b/>
                      <w:sz w:val="18"/>
                      <w:szCs w:val="18"/>
                      <w:lang w:eastAsia="tr-TR"/>
                    </w:rPr>
                    <w:t xml:space="preserve">MADDE 8 – </w:t>
                  </w:r>
                  <w:r w:rsidRPr="00C543A0">
                    <w:rPr>
                      <w:rFonts w:ascii="Times New Roman" w:eastAsia="Times New Roman" w:hAnsi="Times New Roman" w:cs="Times New Roman"/>
                      <w:sz w:val="18"/>
                      <w:szCs w:val="18"/>
                      <w:lang w:eastAsia="tr-TR"/>
                    </w:rPr>
                    <w:t xml:space="preserve">(1) Türkiye, Gümrük Birliğinin etkin işleyişini </w:t>
                  </w:r>
                  <w:proofErr w:type="spellStart"/>
                  <w:r w:rsidRPr="00C543A0">
                    <w:rPr>
                      <w:rFonts w:ascii="Times New Roman" w:eastAsia="Times New Roman" w:hAnsi="Times New Roman" w:cs="Times New Roman"/>
                      <w:sz w:val="18"/>
                      <w:szCs w:val="18"/>
                      <w:lang w:eastAsia="tr-TR"/>
                    </w:rPr>
                    <w:t>teminen</w:t>
                  </w:r>
                  <w:proofErr w:type="spellEnd"/>
                  <w:r w:rsidRPr="00C543A0">
                    <w:rPr>
                      <w:rFonts w:ascii="Times New Roman" w:eastAsia="Times New Roman" w:hAnsi="Times New Roman" w:cs="Times New Roman"/>
                      <w:sz w:val="18"/>
                      <w:szCs w:val="18"/>
                      <w:lang w:eastAsia="tr-TR"/>
                    </w:rPr>
                    <w:t>, GTS kapsamında gerekli düzenlemeleri yapma hakkını saklı tutmak kaydıyla, AB’nin konu hakkındaki düzenlemelerini esas alır ve bu çerçevede, mevzuatında gerekli uyumlaştırmayı yapar.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543A0">
                    <w:rPr>
                      <w:rFonts w:ascii="Times New Roman" w:eastAsia="Times New Roman" w:hAnsi="Times New Roman" w:cs="Times New Roman"/>
                      <w:b/>
                      <w:sz w:val="18"/>
                      <w:szCs w:val="18"/>
                      <w:lang w:eastAsia="tr-TR"/>
                    </w:rPr>
                    <w:t>Yürürlükten kaldırılan tebliğ</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b/>
                      <w:sz w:val="18"/>
                      <w:szCs w:val="18"/>
                      <w:lang w:eastAsia="tr-TR"/>
                    </w:rPr>
                    <w:t xml:space="preserve">MADDE 9 – </w:t>
                  </w:r>
                  <w:r w:rsidRPr="00C543A0">
                    <w:rPr>
                      <w:rFonts w:ascii="Times New Roman" w:eastAsia="Times New Roman" w:hAnsi="Times New Roman" w:cs="Times New Roman"/>
                      <w:sz w:val="18"/>
                      <w:szCs w:val="18"/>
                      <w:lang w:eastAsia="tr-TR"/>
                    </w:rPr>
                    <w:t xml:space="preserve">(1) 29/12/2018 tarihli ve 30640 ikinci mükerrer sayılı Resmî </w:t>
                  </w:r>
                  <w:proofErr w:type="spellStart"/>
                  <w:r w:rsidRPr="00C543A0">
                    <w:rPr>
                      <w:rFonts w:ascii="Times New Roman" w:eastAsia="Times New Roman" w:hAnsi="Times New Roman" w:cs="Times New Roman"/>
                      <w:sz w:val="18"/>
                      <w:szCs w:val="18"/>
                      <w:lang w:eastAsia="tr-TR"/>
                    </w:rPr>
                    <w:t>Gazete’de</w:t>
                  </w:r>
                  <w:proofErr w:type="spellEnd"/>
                  <w:r w:rsidRPr="00C543A0">
                    <w:rPr>
                      <w:rFonts w:ascii="Times New Roman" w:eastAsia="Times New Roman" w:hAnsi="Times New Roman" w:cs="Times New Roman"/>
                      <w:sz w:val="18"/>
                      <w:szCs w:val="18"/>
                      <w:lang w:eastAsia="tr-TR"/>
                    </w:rPr>
                    <w:t xml:space="preserve"> yayımlanan Genelleştirilmiş Tercihler Sistemine İlişkin Tebliğ (İthalat:2019/6) yürürlükten kaldırılmıştır.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543A0">
                    <w:rPr>
                      <w:rFonts w:ascii="Times New Roman" w:eastAsia="Times New Roman" w:hAnsi="Times New Roman" w:cs="Times New Roman"/>
                      <w:b/>
                      <w:sz w:val="18"/>
                      <w:szCs w:val="18"/>
                      <w:lang w:eastAsia="tr-TR"/>
                    </w:rPr>
                    <w:t>Atıflar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b/>
                      <w:sz w:val="18"/>
                      <w:szCs w:val="18"/>
                      <w:lang w:eastAsia="tr-TR"/>
                    </w:rPr>
                    <w:t xml:space="preserve">MADDE 10 – </w:t>
                  </w:r>
                  <w:r w:rsidRPr="00C543A0">
                    <w:rPr>
                      <w:rFonts w:ascii="Times New Roman" w:eastAsia="Times New Roman" w:hAnsi="Times New Roman" w:cs="Times New Roman"/>
                      <w:sz w:val="18"/>
                      <w:szCs w:val="18"/>
                      <w:lang w:eastAsia="tr-TR"/>
                    </w:rPr>
                    <w:t>(1</w:t>
                  </w:r>
                  <w:proofErr w:type="gramStart"/>
                  <w:r w:rsidRPr="00C543A0">
                    <w:rPr>
                      <w:rFonts w:ascii="Times New Roman" w:eastAsia="Times New Roman" w:hAnsi="Times New Roman" w:cs="Times New Roman"/>
                      <w:sz w:val="18"/>
                      <w:szCs w:val="18"/>
                      <w:lang w:eastAsia="tr-TR"/>
                    </w:rPr>
                    <w:t>)  29</w:t>
                  </w:r>
                  <w:proofErr w:type="gramEnd"/>
                  <w:r w:rsidRPr="00C543A0">
                    <w:rPr>
                      <w:rFonts w:ascii="Times New Roman" w:eastAsia="Times New Roman" w:hAnsi="Times New Roman" w:cs="Times New Roman"/>
                      <w:sz w:val="18"/>
                      <w:szCs w:val="18"/>
                      <w:lang w:eastAsia="tr-TR"/>
                    </w:rPr>
                    <w:t xml:space="preserve">/12/2018 tarihli ve 30640 ikinci mükerrer sayılı Resmî </w:t>
                  </w:r>
                  <w:proofErr w:type="spellStart"/>
                  <w:r w:rsidRPr="00C543A0">
                    <w:rPr>
                      <w:rFonts w:ascii="Times New Roman" w:eastAsia="Times New Roman" w:hAnsi="Times New Roman" w:cs="Times New Roman"/>
                      <w:sz w:val="18"/>
                      <w:szCs w:val="18"/>
                      <w:lang w:eastAsia="tr-TR"/>
                    </w:rPr>
                    <w:t>Gazete’de</w:t>
                  </w:r>
                  <w:proofErr w:type="spellEnd"/>
                  <w:r w:rsidRPr="00C543A0">
                    <w:rPr>
                      <w:rFonts w:ascii="Times New Roman" w:eastAsia="Times New Roman" w:hAnsi="Times New Roman" w:cs="Times New Roman"/>
                      <w:sz w:val="18"/>
                      <w:szCs w:val="18"/>
                      <w:lang w:eastAsia="tr-TR"/>
                    </w:rPr>
                    <w:t xml:space="preserve"> yayımlanan Genelleştirilmiş Tercihler Sistemine İlişkin Tebliğ (İthalat:2019/6)’e yapılan atıflar bu Tebliğe yapılmış sayılır. </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543A0">
                    <w:rPr>
                      <w:rFonts w:ascii="Times New Roman" w:eastAsia="Times New Roman" w:hAnsi="Times New Roman" w:cs="Times New Roman"/>
                      <w:b/>
                      <w:sz w:val="18"/>
                      <w:szCs w:val="18"/>
                      <w:lang w:eastAsia="tr-TR"/>
                    </w:rPr>
                    <w:t>Yürürlük</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b/>
                      <w:sz w:val="18"/>
                      <w:szCs w:val="18"/>
                      <w:lang w:eastAsia="tr-TR"/>
                    </w:rPr>
                    <w:t xml:space="preserve">MADDE 11 – </w:t>
                  </w:r>
                  <w:r w:rsidRPr="00C543A0">
                    <w:rPr>
                      <w:rFonts w:ascii="Times New Roman" w:eastAsia="Times New Roman" w:hAnsi="Times New Roman" w:cs="Times New Roman"/>
                      <w:sz w:val="18"/>
                      <w:szCs w:val="18"/>
                      <w:lang w:eastAsia="tr-TR"/>
                    </w:rPr>
                    <w:t>(1) Bu Tebliğ 1/1/2020 tarihinde yürürlüğe girer.</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543A0">
                    <w:rPr>
                      <w:rFonts w:ascii="Times New Roman" w:eastAsia="Times New Roman" w:hAnsi="Times New Roman" w:cs="Times New Roman"/>
                      <w:b/>
                      <w:sz w:val="18"/>
                      <w:szCs w:val="18"/>
                      <w:lang w:eastAsia="tr-TR"/>
                    </w:rPr>
                    <w:t>Yürütme</w:t>
                  </w:r>
                </w:p>
                <w:p w:rsidR="00C543A0" w:rsidRPr="00C543A0" w:rsidRDefault="00C543A0" w:rsidP="00C543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543A0">
                    <w:rPr>
                      <w:rFonts w:ascii="Times New Roman" w:eastAsia="Times New Roman" w:hAnsi="Times New Roman" w:cs="Times New Roman"/>
                      <w:b/>
                      <w:sz w:val="18"/>
                      <w:szCs w:val="18"/>
                      <w:lang w:eastAsia="tr-TR"/>
                    </w:rPr>
                    <w:t xml:space="preserve">MADDE 12 – </w:t>
                  </w:r>
                  <w:r w:rsidRPr="00C543A0">
                    <w:rPr>
                      <w:rFonts w:ascii="Times New Roman" w:eastAsia="Times New Roman" w:hAnsi="Times New Roman" w:cs="Times New Roman"/>
                      <w:sz w:val="18"/>
                      <w:szCs w:val="18"/>
                      <w:lang w:eastAsia="tr-TR"/>
                    </w:rPr>
                    <w:t>(1) Bu Tebliğ hükümlerini Ticaret Bakanı yürütür.</w:t>
                  </w:r>
                </w:p>
                <w:p w:rsidR="00C543A0" w:rsidRPr="00C543A0" w:rsidRDefault="00C543A0" w:rsidP="00C543A0">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C543A0" w:rsidRPr="00C543A0" w:rsidRDefault="00C543A0" w:rsidP="00C543A0">
            <w:pPr>
              <w:spacing w:after="0" w:line="240" w:lineRule="auto"/>
              <w:jc w:val="center"/>
              <w:rPr>
                <w:rFonts w:ascii="Times New Roman" w:eastAsia="Times New Roman" w:hAnsi="Times New Roman" w:cs="Times New Roman"/>
                <w:sz w:val="20"/>
                <w:szCs w:val="20"/>
                <w:lang w:eastAsia="tr-TR"/>
              </w:rPr>
            </w:pPr>
          </w:p>
        </w:tc>
        <w:bookmarkStart w:id="0" w:name="_GoBack"/>
        <w:bookmarkEnd w:id="0"/>
      </w:tr>
    </w:tbl>
    <w:p w:rsidR="00C543A0" w:rsidRPr="00C543A0" w:rsidRDefault="00C543A0" w:rsidP="00C543A0">
      <w:pPr>
        <w:spacing w:after="0" w:line="240" w:lineRule="auto"/>
        <w:jc w:val="center"/>
        <w:rPr>
          <w:rFonts w:ascii="Times New Roman" w:eastAsia="Times New Roman" w:hAnsi="Times New Roman" w:cs="Times New Roman"/>
          <w:sz w:val="24"/>
          <w:szCs w:val="24"/>
          <w:lang w:eastAsia="tr-TR"/>
        </w:rPr>
      </w:pPr>
    </w:p>
    <w:p w:rsidR="00C543A0" w:rsidRDefault="00C543A0"/>
    <w:sectPr w:rsidR="00C54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A0"/>
    <w:rsid w:val="00C543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B69EC-5271-4C16-972A-80A44935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543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C543A0"/>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C543A0"/>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Balk11pt">
    <w:name w:val="Başlık 11 pt"/>
    <w:rsid w:val="00C543A0"/>
    <w:pPr>
      <w:tabs>
        <w:tab w:val="left" w:pos="566"/>
      </w:tabs>
      <w:spacing w:after="0" w:line="240" w:lineRule="auto"/>
      <w:ind w:firstLine="566"/>
      <w:jc w:val="both"/>
    </w:pPr>
    <w:rPr>
      <w:rFonts w:ascii="Times New Roman" w:eastAsia="Times New Roman" w:hAnsi="Times New Roman" w:cs="Times New Roman"/>
      <w:u w:val="singl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790614">
      <w:bodyDiv w:val="1"/>
      <w:marLeft w:val="0"/>
      <w:marRight w:val="0"/>
      <w:marTop w:val="0"/>
      <w:marBottom w:val="0"/>
      <w:divBdr>
        <w:top w:val="none" w:sz="0" w:space="0" w:color="auto"/>
        <w:left w:val="none" w:sz="0" w:space="0" w:color="auto"/>
        <w:bottom w:val="none" w:sz="0" w:space="0" w:color="auto"/>
        <w:right w:val="none" w:sz="0" w:space="0" w:color="auto"/>
      </w:divBdr>
      <w:divsChild>
        <w:div w:id="1783382330">
          <w:marLeft w:val="0"/>
          <w:marRight w:val="0"/>
          <w:marTop w:val="0"/>
          <w:marBottom w:val="0"/>
          <w:divBdr>
            <w:top w:val="none" w:sz="0" w:space="0" w:color="auto"/>
            <w:left w:val="none" w:sz="0" w:space="0" w:color="auto"/>
            <w:bottom w:val="none" w:sz="0" w:space="0" w:color="auto"/>
            <w:right w:val="none" w:sz="0" w:space="0" w:color="auto"/>
          </w:divBdr>
          <w:divsChild>
            <w:div w:id="1172722666">
              <w:marLeft w:val="0"/>
              <w:marRight w:val="0"/>
              <w:marTop w:val="0"/>
              <w:marBottom w:val="0"/>
              <w:divBdr>
                <w:top w:val="none" w:sz="0" w:space="0" w:color="auto"/>
                <w:left w:val="none" w:sz="0" w:space="0" w:color="auto"/>
                <w:bottom w:val="none" w:sz="0" w:space="0" w:color="auto"/>
                <w:right w:val="none" w:sz="0" w:space="0" w:color="auto"/>
              </w:divBdr>
              <w:divsChild>
                <w:div w:id="344482578">
                  <w:marLeft w:val="0"/>
                  <w:marRight w:val="0"/>
                  <w:marTop w:val="0"/>
                  <w:marBottom w:val="0"/>
                  <w:divBdr>
                    <w:top w:val="none" w:sz="0" w:space="0" w:color="auto"/>
                    <w:left w:val="none" w:sz="0" w:space="0" w:color="auto"/>
                    <w:bottom w:val="none" w:sz="0" w:space="0" w:color="auto"/>
                    <w:right w:val="none" w:sz="0" w:space="0" w:color="auto"/>
                  </w:divBdr>
                  <w:divsChild>
                    <w:div w:id="2981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2019-12-31T10:10:00Z</dcterms:created>
  <dcterms:modified xsi:type="dcterms:W3CDTF">2019-12-31T10:11:00Z</dcterms:modified>
</cp:coreProperties>
</file>